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4A1C3" w14:textId="606C756D" w:rsidR="00B97A2D" w:rsidRDefault="00B97A2D"/>
    <w:p w14:paraId="18A7BE4C" w14:textId="77777777" w:rsidR="00B97A2D" w:rsidRDefault="00B97A2D" w:rsidP="00B97A2D">
      <w:pPr>
        <w:pStyle w:val="Heading1"/>
      </w:pPr>
      <w:r>
        <w:t>PROCEDURE</w:t>
      </w:r>
    </w:p>
    <w:p w14:paraId="763C30A3" w14:textId="09F3E12D" w:rsidR="00B97A2D" w:rsidRDefault="00B97A2D" w:rsidP="00B97A2D">
      <w:pPr>
        <w:pStyle w:val="Heading2"/>
      </w:pPr>
      <w:r>
        <w:t xml:space="preserve">APPLICABILITY OF THIS </w:t>
      </w:r>
      <w:r w:rsidR="00E61647">
        <w:t>DOCUMENT</w:t>
      </w:r>
    </w:p>
    <w:p w14:paraId="7E22E4E8" w14:textId="27C0CE08" w:rsidR="00B97A2D" w:rsidRDefault="00B97A2D" w:rsidP="00B97A2D">
      <w:pPr>
        <w:pStyle w:val="BodyText2"/>
      </w:pPr>
      <w:r>
        <w:t xml:space="preserve">All </w:t>
      </w:r>
      <w:r>
        <w:t>SOP, P</w:t>
      </w:r>
      <w:r>
        <w:t>olicies</w:t>
      </w:r>
      <w:r>
        <w:t xml:space="preserve">, </w:t>
      </w:r>
      <w:r w:rsidR="0033208D">
        <w:t xml:space="preserve">and </w:t>
      </w:r>
      <w:r>
        <w:t>Process</w:t>
      </w:r>
      <w:r w:rsidR="0033208D">
        <w:t>es</w:t>
      </w:r>
      <w:r>
        <w:t xml:space="preserve"> of the </w:t>
      </w:r>
      <w:r>
        <w:t>(Company)</w:t>
      </w:r>
      <w:r>
        <w:t xml:space="preserve"> which are generated or revised on or after the effective date of service of must be prepared in compliance with </w:t>
      </w:r>
      <w:r>
        <w:t>company and industry standard</w:t>
      </w:r>
      <w:r>
        <w:t>. SOP</w:t>
      </w:r>
      <w:r w:rsidR="0033208D">
        <w:t>, Policies, and Processes</w:t>
      </w:r>
      <w:r>
        <w:t xml:space="preserve"> generated and fully approved and placed into service prior to the effective date of th</w:t>
      </w:r>
      <w:r w:rsidR="0033208D">
        <w:t>e new potential item</w:t>
      </w:r>
      <w:r>
        <w:t xml:space="preserve"> m</w:t>
      </w:r>
      <w:r w:rsidR="0033208D">
        <w:t>ust</w:t>
      </w:r>
      <w:r>
        <w:t xml:space="preserve"> remain in current form until they are next revised. </w:t>
      </w:r>
    </w:p>
    <w:p w14:paraId="2AACDF00" w14:textId="1E807B90" w:rsidR="00540632" w:rsidRDefault="00540632" w:rsidP="00B97A2D">
      <w:pPr>
        <w:pStyle w:val="Heading2"/>
      </w:pPr>
      <w:r>
        <w:t>CREATING NEW DOCUMENT</w:t>
      </w:r>
      <w:r>
        <w:t xml:space="preserve"> </w:t>
      </w:r>
    </w:p>
    <w:p w14:paraId="4C39A233" w14:textId="70AA6B5E" w:rsidR="00540632" w:rsidRDefault="00540632" w:rsidP="00540632">
      <w:pPr>
        <w:pStyle w:val="ListBullet3"/>
        <w:numPr>
          <w:ilvl w:val="0"/>
          <w:numId w:val="0"/>
        </w:numPr>
        <w:ind w:left="720"/>
      </w:pPr>
      <w:r>
        <w:t xml:space="preserve">New </w:t>
      </w:r>
      <w:r>
        <w:t xml:space="preserve">items </w:t>
      </w:r>
      <w:r>
        <w:t xml:space="preserve">are to be generated at the discretion of the facility director. The director will authorize and oversee the generation of new </w:t>
      </w:r>
      <w:r w:rsidR="00E61647">
        <w:t>items</w:t>
      </w:r>
      <w:r>
        <w:t xml:space="preserve"> based on findings of the Quality Assurance program, or on the recommendation of </w:t>
      </w:r>
      <w:r>
        <w:t>key stakeholders.</w:t>
      </w:r>
    </w:p>
    <w:p w14:paraId="5A10645B" w14:textId="77777777" w:rsidR="00540632" w:rsidRPr="00E61647" w:rsidRDefault="00540632" w:rsidP="00540632">
      <w:pPr>
        <w:pStyle w:val="Heading3"/>
        <w:rPr>
          <w:szCs w:val="24"/>
        </w:rPr>
      </w:pPr>
      <w:r w:rsidRPr="00E61647">
        <w:rPr>
          <w:szCs w:val="24"/>
        </w:rPr>
        <w:t>General</w:t>
      </w:r>
    </w:p>
    <w:p w14:paraId="41E6CB21" w14:textId="3F18F783" w:rsidR="00540632" w:rsidRPr="00E61647" w:rsidRDefault="00540632" w:rsidP="00540632">
      <w:pPr>
        <w:pStyle w:val="BodyText3"/>
        <w:rPr>
          <w:sz w:val="24"/>
          <w:szCs w:val="24"/>
        </w:rPr>
      </w:pPr>
      <w:r w:rsidRPr="00E61647">
        <w:rPr>
          <w:sz w:val="24"/>
          <w:szCs w:val="24"/>
        </w:rPr>
        <w:t xml:space="preserve">All new </w:t>
      </w:r>
      <w:r w:rsidR="00E61647">
        <w:rPr>
          <w:sz w:val="24"/>
          <w:szCs w:val="24"/>
        </w:rPr>
        <w:t>items</w:t>
      </w:r>
      <w:r w:rsidRPr="00E61647">
        <w:rPr>
          <w:sz w:val="24"/>
          <w:szCs w:val="24"/>
        </w:rPr>
        <w:t xml:space="preserve"> must be prepared in draft form. Writing of draft may be assigned by the facility director to an appropriate member of the facility staff. Representative personnel who may possess knowledge regarding the desired product of the </w:t>
      </w:r>
      <w:r w:rsidR="00E61647">
        <w:rPr>
          <w:sz w:val="24"/>
          <w:szCs w:val="24"/>
        </w:rPr>
        <w:t>item</w:t>
      </w:r>
      <w:r w:rsidRPr="00E61647">
        <w:rPr>
          <w:sz w:val="24"/>
          <w:szCs w:val="24"/>
        </w:rPr>
        <w:t>, or who may be responsible for its administration (stakeholders), must review draft. At minimum this must include the facility manager, the facility director,</w:t>
      </w:r>
      <w:r w:rsidR="00E61647">
        <w:rPr>
          <w:sz w:val="24"/>
          <w:szCs w:val="24"/>
        </w:rPr>
        <w:t xml:space="preserve"> and</w:t>
      </w:r>
      <w:r w:rsidRPr="00E61647">
        <w:rPr>
          <w:sz w:val="24"/>
          <w:szCs w:val="24"/>
        </w:rPr>
        <w:t xml:space="preserve"> a QA coordinator or specialist</w:t>
      </w:r>
      <w:r w:rsidR="00E61647">
        <w:rPr>
          <w:sz w:val="24"/>
          <w:szCs w:val="24"/>
        </w:rPr>
        <w:t xml:space="preserve">. </w:t>
      </w:r>
      <w:r w:rsidRPr="00E61647">
        <w:rPr>
          <w:sz w:val="24"/>
          <w:szCs w:val="24"/>
        </w:rPr>
        <w:t xml:space="preserve">It is the responsibility of the facility director to </w:t>
      </w:r>
      <w:proofErr w:type="gramStart"/>
      <w:r w:rsidRPr="00E61647">
        <w:rPr>
          <w:sz w:val="24"/>
          <w:szCs w:val="24"/>
        </w:rPr>
        <w:t>insure</w:t>
      </w:r>
      <w:proofErr w:type="gramEnd"/>
      <w:r w:rsidRPr="00E61647">
        <w:rPr>
          <w:sz w:val="24"/>
          <w:szCs w:val="24"/>
        </w:rPr>
        <w:t xml:space="preserve"> that all stakeholders review draft</w:t>
      </w:r>
      <w:r w:rsidR="00E61647">
        <w:rPr>
          <w:sz w:val="24"/>
          <w:szCs w:val="24"/>
        </w:rPr>
        <w:t>s</w:t>
      </w:r>
      <w:r w:rsidRPr="00E61647">
        <w:rPr>
          <w:sz w:val="24"/>
          <w:szCs w:val="24"/>
        </w:rPr>
        <w:t>.</w:t>
      </w:r>
    </w:p>
    <w:p w14:paraId="2AB485E1" w14:textId="063FBD4B" w:rsidR="00540632" w:rsidRDefault="00540632" w:rsidP="00540632">
      <w:pPr>
        <w:pStyle w:val="BodyText3"/>
        <w:rPr>
          <w:sz w:val="24"/>
          <w:szCs w:val="24"/>
        </w:rPr>
      </w:pPr>
      <w:r w:rsidRPr="00E61647">
        <w:rPr>
          <w:sz w:val="24"/>
          <w:szCs w:val="24"/>
        </w:rPr>
        <w:t xml:space="preserve">Changes may be made directly to the electronic </w:t>
      </w:r>
      <w:r w:rsidR="00E61647" w:rsidRPr="00E61647">
        <w:rPr>
          <w:sz w:val="24"/>
          <w:szCs w:val="24"/>
        </w:rPr>
        <w:t>document but</w:t>
      </w:r>
      <w:r w:rsidRPr="00E61647">
        <w:rPr>
          <w:sz w:val="24"/>
          <w:szCs w:val="24"/>
        </w:rPr>
        <w:t xml:space="preserve"> must be clearly noted prior to passing the document to the next reviewer.</w:t>
      </w:r>
    </w:p>
    <w:p w14:paraId="564DA795" w14:textId="7C22E7F3" w:rsidR="00E61647" w:rsidRDefault="00E61647" w:rsidP="00540632">
      <w:pPr>
        <w:pStyle w:val="BodyText3"/>
        <w:rPr>
          <w:sz w:val="24"/>
          <w:szCs w:val="24"/>
        </w:rPr>
      </w:pPr>
    </w:p>
    <w:p w14:paraId="676AB9DF" w14:textId="22E1255C" w:rsidR="00E61647" w:rsidRDefault="00E61647" w:rsidP="00E61647">
      <w:pPr>
        <w:pStyle w:val="Heading2"/>
      </w:pPr>
      <w:r>
        <w:t xml:space="preserve">DOCUMENT </w:t>
      </w:r>
      <w:r>
        <w:t>REVISION</w:t>
      </w:r>
    </w:p>
    <w:p w14:paraId="0469A0BE" w14:textId="747F8E36" w:rsidR="00E61647" w:rsidRDefault="00E61647" w:rsidP="00E61647">
      <w:pPr>
        <w:pStyle w:val="BodyText2"/>
      </w:pPr>
      <w:r>
        <w:t>Items</w:t>
      </w:r>
      <w:r>
        <w:t xml:space="preserve"> must be revised only </w:t>
      </w:r>
      <w:proofErr w:type="gramStart"/>
      <w:r>
        <w:t>on the basis of</w:t>
      </w:r>
      <w:proofErr w:type="gramEnd"/>
      <w:r>
        <w:t xml:space="preserve"> determined need, following the guidelines established</w:t>
      </w:r>
      <w:r>
        <w:t xml:space="preserve"> by company standards and/or industry standards.</w:t>
      </w:r>
    </w:p>
    <w:p w14:paraId="63484EBF" w14:textId="00314DC2" w:rsidR="00E61647" w:rsidRDefault="00E61647" w:rsidP="00E61647">
      <w:pPr>
        <w:pStyle w:val="BodyText2"/>
      </w:pPr>
      <w:r>
        <w:t xml:space="preserve">Once it has been determined that an </w:t>
      </w:r>
      <w:r>
        <w:t>item</w:t>
      </w:r>
      <w:r>
        <w:t xml:space="preserve"> must change, generation of the revised </w:t>
      </w:r>
      <w:r>
        <w:t>item</w:t>
      </w:r>
      <w:r>
        <w:t xml:space="preserve"> must follow the steps for generation of a new </w:t>
      </w:r>
      <w:r>
        <w:t>item.</w:t>
      </w:r>
    </w:p>
    <w:p w14:paraId="7C7E0CD4" w14:textId="464CC2E4" w:rsidR="00E61647" w:rsidRDefault="00E61647" w:rsidP="00E61647">
      <w:pPr>
        <w:pStyle w:val="Heading2"/>
      </w:pPr>
      <w:r>
        <w:t xml:space="preserve">REVIEW OF COMPLETED </w:t>
      </w:r>
      <w:r>
        <w:t>DOCUMENT</w:t>
      </w:r>
    </w:p>
    <w:p w14:paraId="0ABF2D70" w14:textId="40E7E8C6" w:rsidR="00E61647" w:rsidRDefault="00E61647" w:rsidP="00E61647">
      <w:pPr>
        <w:pStyle w:val="Heading3"/>
      </w:pPr>
      <w:proofErr w:type="gramStart"/>
      <w:r>
        <w:t>Director  /</w:t>
      </w:r>
      <w:proofErr w:type="gramEnd"/>
      <w:r>
        <w:t xml:space="preserve"> Manager Review</w:t>
      </w:r>
    </w:p>
    <w:p w14:paraId="633ED503" w14:textId="404F66C6" w:rsidR="00E61647" w:rsidRDefault="00E61647" w:rsidP="00E61647">
      <w:pPr>
        <w:pStyle w:val="ListBullet3"/>
      </w:pPr>
      <w:r>
        <w:t>Prior to initial implementation, the facility director, manager and as required, must sign in the appropriate boxes in the historical record table indicating review and approval.</w:t>
      </w:r>
    </w:p>
    <w:p w14:paraId="7EEEAA85" w14:textId="77777777" w:rsidR="00E61647" w:rsidRDefault="00E61647" w:rsidP="00E61647">
      <w:pPr>
        <w:pStyle w:val="Heading3"/>
      </w:pPr>
      <w:r>
        <w:lastRenderedPageBreak/>
        <w:t>Annual Review</w:t>
      </w:r>
    </w:p>
    <w:p w14:paraId="2510B7F0" w14:textId="616A5DBA" w:rsidR="00E61647" w:rsidRDefault="00E61647" w:rsidP="00E61647">
      <w:pPr>
        <w:pStyle w:val="ListBullet3"/>
      </w:pPr>
      <w:r>
        <w:t xml:space="preserve">The facility director must review all pages </w:t>
      </w:r>
      <w:r>
        <w:t>of item</w:t>
      </w:r>
      <w:r>
        <w:t xml:space="preserve"> at least once per 12 calendar months. This review must be evidenced by initialing and dating</w:t>
      </w:r>
      <w:r w:rsidR="008A6E19">
        <w:t>.</w:t>
      </w:r>
    </w:p>
    <w:p w14:paraId="33BD0938" w14:textId="38800C9D" w:rsidR="00E61647" w:rsidRDefault="00E61647" w:rsidP="00E61647">
      <w:pPr>
        <w:pStyle w:val="Heading2"/>
      </w:pPr>
      <w:r>
        <w:t>Retired Retention</w:t>
      </w:r>
    </w:p>
    <w:p w14:paraId="76176E0D" w14:textId="697900E9" w:rsidR="00E61647" w:rsidRDefault="00E61647" w:rsidP="00E61647">
      <w:pPr>
        <w:pStyle w:val="BodyText2"/>
      </w:pPr>
      <w:r>
        <w:t xml:space="preserve">Following replacement by a revised </w:t>
      </w:r>
      <w:r w:rsidR="008A6E19">
        <w:t>item</w:t>
      </w:r>
      <w:r>
        <w:t xml:space="preserve">, all </w:t>
      </w:r>
      <w:r w:rsidR="008A6E19">
        <w:t>items</w:t>
      </w:r>
      <w:r>
        <w:t xml:space="preserve"> shall be placed into secure storage. Retired </w:t>
      </w:r>
      <w:r w:rsidR="008A6E19">
        <w:t xml:space="preserve">items </w:t>
      </w:r>
      <w:r>
        <w:t xml:space="preserve">are to be indefinitely. Electronic files containing retired </w:t>
      </w:r>
      <w:r w:rsidR="008A6E19">
        <w:t>items</w:t>
      </w:r>
      <w:r>
        <w:t xml:space="preserve"> shall be </w:t>
      </w:r>
      <w:r w:rsidR="008A6E19">
        <w:t>stored in a set place (ask your company where they store retired items) for</w:t>
      </w:r>
      <w:r>
        <w:t xml:space="preserve"> permanent </w:t>
      </w:r>
      <w:proofErr w:type="gramStart"/>
      <w:r>
        <w:t>retention, and</w:t>
      </w:r>
      <w:proofErr w:type="gramEnd"/>
      <w:r>
        <w:t xml:space="preserve"> stored in a separate location from the paper versions. Storage areas for retained </w:t>
      </w:r>
      <w:r w:rsidR="008A6E19">
        <w:t>items</w:t>
      </w:r>
      <w:r>
        <w:t xml:space="preserve"> shall be secure and safe from potential adverse environmental effects such as flooding or fire. </w:t>
      </w:r>
      <w:proofErr w:type="spellStart"/>
      <w:r>
        <w:t>Off site</w:t>
      </w:r>
      <w:proofErr w:type="spellEnd"/>
      <w:r>
        <w:t xml:space="preserve"> storage at contract facility is permissible for records greater than two (2) years old. </w:t>
      </w:r>
    </w:p>
    <w:p w14:paraId="7BE5D836" w14:textId="77777777" w:rsidR="00E61647" w:rsidRDefault="00E61647" w:rsidP="00E61647">
      <w:pPr>
        <w:pStyle w:val="Heading2"/>
      </w:pPr>
      <w:r>
        <w:t>COMPUTER FILE STORAGE</w:t>
      </w:r>
    </w:p>
    <w:p w14:paraId="3BA49A9C" w14:textId="77777777" w:rsidR="00E61647" w:rsidRDefault="00E61647" w:rsidP="00E61647">
      <w:pPr>
        <w:pStyle w:val="BodyTextIndent2"/>
      </w:pPr>
      <w:r>
        <w:t xml:space="preserve">SOPs shall be stored in MS Word (or compatible) formatted files (either .doc or .rtf format). </w:t>
      </w:r>
    </w:p>
    <w:p w14:paraId="34CC2A6A" w14:textId="77777777" w:rsidR="00E61647" w:rsidRDefault="00E61647" w:rsidP="00E61647">
      <w:pPr>
        <w:pStyle w:val="BodyTextIndent2"/>
      </w:pPr>
    </w:p>
    <w:p w14:paraId="41268CA7" w14:textId="77777777" w:rsidR="00E61647" w:rsidRDefault="00E61647" w:rsidP="00E61647">
      <w:pPr>
        <w:pStyle w:val="ListBullet3"/>
        <w:numPr>
          <w:ilvl w:val="0"/>
          <w:numId w:val="0"/>
        </w:numPr>
        <w:ind w:left="1080"/>
      </w:pPr>
    </w:p>
    <w:p w14:paraId="33848AC2" w14:textId="424911A4" w:rsidR="0033208D" w:rsidRDefault="0033208D" w:rsidP="0033208D">
      <w:pPr>
        <w:pStyle w:val="Heading2"/>
        <w:numPr>
          <w:ilvl w:val="1"/>
          <w:numId w:val="4"/>
        </w:numPr>
      </w:pPr>
      <w:r>
        <w:t xml:space="preserve">ORGANIZATION OF THE </w:t>
      </w:r>
      <w:r>
        <w:t>SOPs, POLICIES, AND PROCESSES</w:t>
      </w:r>
    </w:p>
    <w:p w14:paraId="7ECC1608" w14:textId="46247CB2" w:rsidR="0033208D" w:rsidRDefault="0033208D" w:rsidP="0033208D">
      <w:pPr>
        <w:pStyle w:val="BodyText2"/>
      </w:pPr>
      <w:r>
        <w:t>An analyst</w:t>
      </w:r>
      <w:r>
        <w:t xml:space="preserve"> shall arrange</w:t>
      </w:r>
      <w:r>
        <w:t xml:space="preserve"> the body of the document</w:t>
      </w:r>
      <w:r>
        <w:t xml:space="preserve"> in xx volumes, each of which will be assigned a roman numeral numbering sequence</w:t>
      </w:r>
      <w:r>
        <w:t>, or a numeric sequence, or an alphabetic sequence</w:t>
      </w:r>
      <w:r>
        <w:t>, as shown in the following table</w:t>
      </w:r>
      <w:r>
        <w:t xml:space="preserve"> example</w:t>
      </w:r>
      <w: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0"/>
        <w:gridCol w:w="3160"/>
        <w:gridCol w:w="4400"/>
      </w:tblGrid>
      <w:tr w:rsidR="0033208D" w14:paraId="624E8698" w14:textId="77777777" w:rsidTr="0033208D">
        <w:tblPrEx>
          <w:tblCellMar>
            <w:top w:w="0" w:type="dxa"/>
            <w:bottom w:w="0" w:type="dxa"/>
          </w:tblCellMar>
        </w:tblPrEx>
        <w:trPr>
          <w:tblHeader/>
        </w:trPr>
        <w:tc>
          <w:tcPr>
            <w:tcW w:w="1070" w:type="dxa"/>
          </w:tcPr>
          <w:p w14:paraId="76761DC6" w14:textId="77777777" w:rsidR="0033208D" w:rsidRDefault="0033208D" w:rsidP="00AC6CE1">
            <w:pPr>
              <w:pStyle w:val="BodyText2"/>
              <w:rPr>
                <w:b/>
                <w:bCs/>
              </w:rPr>
            </w:pPr>
            <w:r>
              <w:rPr>
                <w:b/>
                <w:bCs/>
              </w:rPr>
              <w:t>Number</w:t>
            </w:r>
          </w:p>
        </w:tc>
        <w:tc>
          <w:tcPr>
            <w:tcW w:w="3160" w:type="dxa"/>
          </w:tcPr>
          <w:p w14:paraId="2C613249" w14:textId="77777777" w:rsidR="0033208D" w:rsidRDefault="0033208D" w:rsidP="00AC6CE1">
            <w:pPr>
              <w:pStyle w:val="BodyText2"/>
              <w:rPr>
                <w:b/>
                <w:bCs/>
              </w:rPr>
            </w:pPr>
            <w:r>
              <w:rPr>
                <w:b/>
                <w:bCs/>
              </w:rPr>
              <w:t>Volume Title</w:t>
            </w:r>
          </w:p>
        </w:tc>
        <w:tc>
          <w:tcPr>
            <w:tcW w:w="4400" w:type="dxa"/>
          </w:tcPr>
          <w:p w14:paraId="27D2F004" w14:textId="77777777" w:rsidR="0033208D" w:rsidRDefault="0033208D" w:rsidP="00AC6CE1">
            <w:pPr>
              <w:pStyle w:val="BodyText2"/>
              <w:rPr>
                <w:b/>
                <w:bCs/>
              </w:rPr>
            </w:pPr>
            <w:r>
              <w:rPr>
                <w:b/>
                <w:bCs/>
              </w:rPr>
              <w:t>Description of Content</w:t>
            </w:r>
          </w:p>
        </w:tc>
      </w:tr>
      <w:tr w:rsidR="0033208D" w14:paraId="327E5558" w14:textId="77777777" w:rsidTr="0033208D">
        <w:tblPrEx>
          <w:tblCellMar>
            <w:top w:w="0" w:type="dxa"/>
            <w:bottom w:w="0" w:type="dxa"/>
          </w:tblCellMar>
        </w:tblPrEx>
        <w:tc>
          <w:tcPr>
            <w:tcW w:w="1070" w:type="dxa"/>
          </w:tcPr>
          <w:p w14:paraId="798E5772" w14:textId="77777777" w:rsidR="0033208D" w:rsidRDefault="0033208D" w:rsidP="00AC6CE1">
            <w:pPr>
              <w:pStyle w:val="BodyText2"/>
            </w:pPr>
            <w:r>
              <w:t>I</w:t>
            </w:r>
          </w:p>
        </w:tc>
        <w:tc>
          <w:tcPr>
            <w:tcW w:w="3160" w:type="dxa"/>
          </w:tcPr>
          <w:p w14:paraId="64BDB5A2" w14:textId="77777777" w:rsidR="0033208D" w:rsidRDefault="0033208D" w:rsidP="00AC6CE1">
            <w:pPr>
              <w:pStyle w:val="BodyText2"/>
            </w:pPr>
            <w:r>
              <w:t>Administration and General Policies</w:t>
            </w:r>
          </w:p>
        </w:tc>
        <w:tc>
          <w:tcPr>
            <w:tcW w:w="4400" w:type="dxa"/>
          </w:tcPr>
          <w:p w14:paraId="5CEE068E" w14:textId="77777777" w:rsidR="0033208D" w:rsidRDefault="0033208D" w:rsidP="00AC6CE1">
            <w:pPr>
              <w:pStyle w:val="BodyText2"/>
            </w:pPr>
            <w:r>
              <w:t>SOPs that describe facility organization and management, functions and responsibilities of all facility personnel, and common practices for all laboratories within the facility</w:t>
            </w:r>
          </w:p>
        </w:tc>
      </w:tr>
      <w:tr w:rsidR="0033208D" w14:paraId="132A77D7" w14:textId="77777777" w:rsidTr="0033208D">
        <w:tblPrEx>
          <w:tblCellMar>
            <w:top w:w="0" w:type="dxa"/>
            <w:bottom w:w="0" w:type="dxa"/>
          </w:tblCellMar>
        </w:tblPrEx>
        <w:tc>
          <w:tcPr>
            <w:tcW w:w="1070" w:type="dxa"/>
          </w:tcPr>
          <w:p w14:paraId="339CF00E" w14:textId="77777777" w:rsidR="0033208D" w:rsidRDefault="0033208D" w:rsidP="00AC6CE1">
            <w:pPr>
              <w:pStyle w:val="BodyText2"/>
            </w:pPr>
            <w:r>
              <w:lastRenderedPageBreak/>
              <w:t>II</w:t>
            </w:r>
          </w:p>
        </w:tc>
        <w:tc>
          <w:tcPr>
            <w:tcW w:w="3160" w:type="dxa"/>
          </w:tcPr>
          <w:p w14:paraId="26B20FD2" w14:textId="77777777" w:rsidR="0033208D" w:rsidRDefault="0033208D" w:rsidP="00AC6CE1">
            <w:pPr>
              <w:pStyle w:val="BodyText2"/>
            </w:pPr>
            <w:r>
              <w:t>Quality Assurance</w:t>
            </w:r>
          </w:p>
        </w:tc>
        <w:tc>
          <w:tcPr>
            <w:tcW w:w="4400" w:type="dxa"/>
          </w:tcPr>
          <w:p w14:paraId="1815B0C0" w14:textId="77777777" w:rsidR="0033208D" w:rsidRDefault="0033208D" w:rsidP="00AC6CE1">
            <w:pPr>
              <w:pStyle w:val="BodyText2"/>
            </w:pPr>
            <w:r>
              <w:t>SOPs that describe the Quality Program and all quality activities of the facility</w:t>
            </w:r>
          </w:p>
        </w:tc>
      </w:tr>
      <w:tr w:rsidR="0033208D" w14:paraId="170E9A02" w14:textId="77777777" w:rsidTr="0033208D">
        <w:tblPrEx>
          <w:tblCellMar>
            <w:top w:w="0" w:type="dxa"/>
            <w:bottom w:w="0" w:type="dxa"/>
          </w:tblCellMar>
        </w:tblPrEx>
        <w:tc>
          <w:tcPr>
            <w:tcW w:w="1070" w:type="dxa"/>
          </w:tcPr>
          <w:p w14:paraId="5F442E86" w14:textId="77777777" w:rsidR="0033208D" w:rsidRDefault="0033208D" w:rsidP="00AC6CE1">
            <w:pPr>
              <w:pStyle w:val="BodyText2"/>
            </w:pPr>
            <w:r>
              <w:t>III</w:t>
            </w:r>
          </w:p>
        </w:tc>
        <w:tc>
          <w:tcPr>
            <w:tcW w:w="3160" w:type="dxa"/>
          </w:tcPr>
          <w:p w14:paraId="55B9A617" w14:textId="77777777" w:rsidR="0033208D" w:rsidRDefault="0033208D" w:rsidP="00AC6CE1">
            <w:pPr>
              <w:pStyle w:val="BodyText2"/>
            </w:pPr>
            <w:r>
              <w:t>Cell Engineering Laboratory</w:t>
            </w:r>
          </w:p>
        </w:tc>
        <w:tc>
          <w:tcPr>
            <w:tcW w:w="4400" w:type="dxa"/>
          </w:tcPr>
          <w:p w14:paraId="4E25B146" w14:textId="77777777" w:rsidR="0033208D" w:rsidRDefault="0033208D" w:rsidP="00AC6CE1">
            <w:pPr>
              <w:pStyle w:val="BodyText2"/>
            </w:pPr>
            <w:r>
              <w:t>Procedural SOPs for the generation of engineered cell products, principally for use in immunotherapy applications</w:t>
            </w:r>
          </w:p>
        </w:tc>
      </w:tr>
      <w:tr w:rsidR="0033208D" w14:paraId="6E6CEC7A" w14:textId="77777777" w:rsidTr="0033208D">
        <w:tblPrEx>
          <w:tblCellMar>
            <w:top w:w="0" w:type="dxa"/>
            <w:bottom w:w="0" w:type="dxa"/>
          </w:tblCellMar>
        </w:tblPrEx>
        <w:tc>
          <w:tcPr>
            <w:tcW w:w="1070" w:type="dxa"/>
          </w:tcPr>
          <w:p w14:paraId="2636EE75" w14:textId="77777777" w:rsidR="0033208D" w:rsidRDefault="0033208D" w:rsidP="00AC6CE1">
            <w:pPr>
              <w:pStyle w:val="BodyText2"/>
            </w:pPr>
            <w:r>
              <w:t>IV</w:t>
            </w:r>
          </w:p>
        </w:tc>
        <w:tc>
          <w:tcPr>
            <w:tcW w:w="3160" w:type="dxa"/>
          </w:tcPr>
          <w:p w14:paraId="2466CD08" w14:textId="77777777" w:rsidR="0033208D" w:rsidRDefault="0033208D" w:rsidP="00AC6CE1">
            <w:pPr>
              <w:pStyle w:val="BodyText2"/>
            </w:pPr>
            <w:r>
              <w:t>Apheresis / Blood and Marrow Collection</w:t>
            </w:r>
          </w:p>
        </w:tc>
        <w:tc>
          <w:tcPr>
            <w:tcW w:w="4400" w:type="dxa"/>
          </w:tcPr>
          <w:p w14:paraId="16D46D2C" w14:textId="77777777" w:rsidR="0033208D" w:rsidRDefault="0033208D" w:rsidP="00AC6CE1">
            <w:pPr>
              <w:pStyle w:val="BodyText2"/>
            </w:pPr>
            <w:r>
              <w:t>Procedural SOPs specific to the operation of the apheresis area. Includes SOPs that describe the activities of cell therapy staff in the harvesting of bone marrow for transplant.</w:t>
            </w:r>
          </w:p>
        </w:tc>
      </w:tr>
      <w:tr w:rsidR="0033208D" w14:paraId="2466BB69" w14:textId="77777777" w:rsidTr="0033208D">
        <w:tblPrEx>
          <w:tblCellMar>
            <w:top w:w="0" w:type="dxa"/>
            <w:bottom w:w="0" w:type="dxa"/>
          </w:tblCellMar>
        </w:tblPrEx>
        <w:tc>
          <w:tcPr>
            <w:tcW w:w="1070" w:type="dxa"/>
          </w:tcPr>
          <w:p w14:paraId="63B8E6B3" w14:textId="77777777" w:rsidR="0033208D" w:rsidRDefault="0033208D" w:rsidP="00AC6CE1">
            <w:pPr>
              <w:pStyle w:val="BodyText2"/>
            </w:pPr>
            <w:r>
              <w:t>V</w:t>
            </w:r>
          </w:p>
        </w:tc>
        <w:tc>
          <w:tcPr>
            <w:tcW w:w="3160" w:type="dxa"/>
          </w:tcPr>
          <w:p w14:paraId="47774DE6" w14:textId="77777777" w:rsidR="0033208D" w:rsidRDefault="0033208D" w:rsidP="00AC6CE1">
            <w:pPr>
              <w:pStyle w:val="BodyText2"/>
            </w:pPr>
            <w:r>
              <w:t>Stem Cell Processing Laboratory</w:t>
            </w:r>
          </w:p>
        </w:tc>
        <w:tc>
          <w:tcPr>
            <w:tcW w:w="4400" w:type="dxa"/>
          </w:tcPr>
          <w:p w14:paraId="46F44779" w14:textId="77777777" w:rsidR="0033208D" w:rsidRDefault="0033208D" w:rsidP="00AC6CE1">
            <w:pPr>
              <w:pStyle w:val="BodyText2"/>
            </w:pPr>
            <w:r>
              <w:t>Procedural SOPs for the preparation of blood and marrow derived cell products for use as hematopoietic progenitor cell transplant products or for transfer to the cell engineering area for generation of engineered cell products</w:t>
            </w:r>
          </w:p>
        </w:tc>
      </w:tr>
      <w:tr w:rsidR="0033208D" w14:paraId="2238CF29" w14:textId="77777777" w:rsidTr="0033208D">
        <w:tblPrEx>
          <w:tblCellMar>
            <w:top w:w="0" w:type="dxa"/>
            <w:bottom w:w="0" w:type="dxa"/>
          </w:tblCellMar>
        </w:tblPrEx>
        <w:tc>
          <w:tcPr>
            <w:tcW w:w="1070" w:type="dxa"/>
          </w:tcPr>
          <w:p w14:paraId="14306571" w14:textId="77777777" w:rsidR="0033208D" w:rsidRDefault="0033208D" w:rsidP="00AC6CE1">
            <w:pPr>
              <w:pStyle w:val="BodyText2"/>
            </w:pPr>
            <w:r>
              <w:t>VI</w:t>
            </w:r>
          </w:p>
        </w:tc>
        <w:tc>
          <w:tcPr>
            <w:tcW w:w="3160" w:type="dxa"/>
          </w:tcPr>
          <w:p w14:paraId="1FB05FAB" w14:textId="77777777" w:rsidR="0033208D" w:rsidRDefault="0033208D" w:rsidP="00AC6CE1">
            <w:pPr>
              <w:pStyle w:val="BodyText2"/>
            </w:pPr>
            <w:r>
              <w:t>(High Speed Fluorescence Activated Cell Sorter)</w:t>
            </w:r>
          </w:p>
        </w:tc>
        <w:tc>
          <w:tcPr>
            <w:tcW w:w="4400" w:type="dxa"/>
          </w:tcPr>
          <w:p w14:paraId="4C52DEC3" w14:textId="77777777" w:rsidR="0033208D" w:rsidRDefault="0033208D" w:rsidP="00AC6CE1">
            <w:pPr>
              <w:pStyle w:val="BodyText2"/>
            </w:pPr>
            <w:r>
              <w:t xml:space="preserve">Laboratory planned but not implemented. </w:t>
            </w:r>
          </w:p>
        </w:tc>
      </w:tr>
      <w:tr w:rsidR="0033208D" w14:paraId="64305965" w14:textId="77777777" w:rsidTr="0033208D">
        <w:tblPrEx>
          <w:tblCellMar>
            <w:top w:w="0" w:type="dxa"/>
            <w:bottom w:w="0" w:type="dxa"/>
          </w:tblCellMar>
        </w:tblPrEx>
        <w:tc>
          <w:tcPr>
            <w:tcW w:w="1070" w:type="dxa"/>
          </w:tcPr>
          <w:p w14:paraId="78701615" w14:textId="77777777" w:rsidR="0033208D" w:rsidRDefault="0033208D" w:rsidP="00AC6CE1">
            <w:pPr>
              <w:pStyle w:val="BodyText2"/>
            </w:pPr>
            <w:r>
              <w:t>VII</w:t>
            </w:r>
          </w:p>
        </w:tc>
        <w:tc>
          <w:tcPr>
            <w:tcW w:w="3160" w:type="dxa"/>
          </w:tcPr>
          <w:p w14:paraId="7F0C1AB0" w14:textId="77777777" w:rsidR="0033208D" w:rsidRDefault="0033208D" w:rsidP="00AC6CE1">
            <w:pPr>
              <w:pStyle w:val="BodyText2"/>
            </w:pPr>
            <w:r>
              <w:t>GLP Laboratory</w:t>
            </w:r>
          </w:p>
        </w:tc>
        <w:tc>
          <w:tcPr>
            <w:tcW w:w="4400" w:type="dxa"/>
          </w:tcPr>
          <w:p w14:paraId="0E68C3E8" w14:textId="77777777" w:rsidR="0033208D" w:rsidRDefault="0033208D" w:rsidP="00AC6CE1">
            <w:pPr>
              <w:pStyle w:val="BodyText2"/>
            </w:pPr>
            <w:r>
              <w:t>Laboratory in planning process.</w:t>
            </w:r>
          </w:p>
        </w:tc>
      </w:tr>
      <w:tr w:rsidR="0033208D" w14:paraId="71EC1F7A" w14:textId="77777777" w:rsidTr="0033208D">
        <w:tblPrEx>
          <w:tblCellMar>
            <w:top w:w="0" w:type="dxa"/>
            <w:bottom w:w="0" w:type="dxa"/>
          </w:tblCellMar>
        </w:tblPrEx>
        <w:tc>
          <w:tcPr>
            <w:tcW w:w="1070" w:type="dxa"/>
          </w:tcPr>
          <w:p w14:paraId="2DE267C9" w14:textId="77777777" w:rsidR="0033208D" w:rsidRDefault="0033208D" w:rsidP="00AC6CE1">
            <w:pPr>
              <w:pStyle w:val="BodyText2"/>
            </w:pPr>
            <w:r>
              <w:t>VIII</w:t>
            </w:r>
          </w:p>
        </w:tc>
        <w:tc>
          <w:tcPr>
            <w:tcW w:w="3160" w:type="dxa"/>
          </w:tcPr>
          <w:p w14:paraId="61B459AB" w14:textId="77777777" w:rsidR="0033208D" w:rsidRDefault="0033208D" w:rsidP="00AC6CE1">
            <w:pPr>
              <w:pStyle w:val="BodyText2"/>
            </w:pPr>
            <w:r>
              <w:t xml:space="preserve">Cell Response / Immune </w:t>
            </w:r>
            <w:r>
              <w:lastRenderedPageBreak/>
              <w:t>Monitoring Laboratory</w:t>
            </w:r>
          </w:p>
        </w:tc>
        <w:tc>
          <w:tcPr>
            <w:tcW w:w="4400" w:type="dxa"/>
          </w:tcPr>
          <w:p w14:paraId="5EE0D22E" w14:textId="77777777" w:rsidR="0033208D" w:rsidRDefault="0033208D" w:rsidP="00AC6CE1">
            <w:pPr>
              <w:pStyle w:val="BodyText2"/>
            </w:pPr>
            <w:r>
              <w:lastRenderedPageBreak/>
              <w:t xml:space="preserve">Laboratory Planned Procedural SOPs for </w:t>
            </w:r>
            <w:r>
              <w:lastRenderedPageBreak/>
              <w:t>tests/assays for monitoring immunologic function in patients on therapeutic trials.</w:t>
            </w:r>
          </w:p>
        </w:tc>
      </w:tr>
      <w:tr w:rsidR="0033208D" w14:paraId="15D973E0" w14:textId="77777777" w:rsidTr="0033208D">
        <w:tblPrEx>
          <w:tblCellMar>
            <w:top w:w="0" w:type="dxa"/>
            <w:bottom w:w="0" w:type="dxa"/>
          </w:tblCellMar>
        </w:tblPrEx>
        <w:tc>
          <w:tcPr>
            <w:tcW w:w="1070" w:type="dxa"/>
          </w:tcPr>
          <w:p w14:paraId="0A807353" w14:textId="77777777" w:rsidR="0033208D" w:rsidRDefault="0033208D" w:rsidP="00AC6CE1">
            <w:pPr>
              <w:pStyle w:val="BodyText2"/>
            </w:pPr>
            <w:r>
              <w:lastRenderedPageBreak/>
              <w:t>IX</w:t>
            </w:r>
          </w:p>
        </w:tc>
        <w:tc>
          <w:tcPr>
            <w:tcW w:w="3160" w:type="dxa"/>
          </w:tcPr>
          <w:p w14:paraId="7CD4EF1F" w14:textId="77777777" w:rsidR="0033208D" w:rsidRDefault="0033208D" w:rsidP="00AC6CE1">
            <w:pPr>
              <w:pStyle w:val="BodyText2"/>
            </w:pPr>
            <w:r>
              <w:t>Equipment and Facility</w:t>
            </w:r>
          </w:p>
        </w:tc>
        <w:tc>
          <w:tcPr>
            <w:tcW w:w="4400" w:type="dxa"/>
          </w:tcPr>
          <w:p w14:paraId="0FE66C67" w14:textId="77777777" w:rsidR="0033208D" w:rsidRDefault="0033208D" w:rsidP="00AC6CE1">
            <w:pPr>
              <w:pStyle w:val="BodyText2"/>
            </w:pPr>
            <w:r>
              <w:t>SOPs describing the monitoring, cleaning, maintenance, and calibration of all areas within the cell therapy facility and all equipment contained therein</w:t>
            </w:r>
          </w:p>
        </w:tc>
      </w:tr>
      <w:tr w:rsidR="0033208D" w14:paraId="730479F9" w14:textId="77777777" w:rsidTr="0033208D">
        <w:tblPrEx>
          <w:tblCellMar>
            <w:top w:w="0" w:type="dxa"/>
            <w:bottom w:w="0" w:type="dxa"/>
          </w:tblCellMar>
        </w:tblPrEx>
        <w:tc>
          <w:tcPr>
            <w:tcW w:w="1070" w:type="dxa"/>
          </w:tcPr>
          <w:p w14:paraId="523F24A7" w14:textId="77777777" w:rsidR="0033208D" w:rsidRDefault="0033208D" w:rsidP="00AC6CE1">
            <w:pPr>
              <w:pStyle w:val="BodyText2"/>
            </w:pPr>
            <w:r>
              <w:t>X</w:t>
            </w:r>
          </w:p>
        </w:tc>
        <w:tc>
          <w:tcPr>
            <w:tcW w:w="3160" w:type="dxa"/>
          </w:tcPr>
          <w:p w14:paraId="5B6DF10F" w14:textId="77777777" w:rsidR="0033208D" w:rsidRDefault="0033208D" w:rsidP="00AC6CE1">
            <w:pPr>
              <w:pStyle w:val="BodyText2"/>
            </w:pPr>
            <w:r>
              <w:t>Computers and Data Management</w:t>
            </w:r>
          </w:p>
        </w:tc>
        <w:tc>
          <w:tcPr>
            <w:tcW w:w="4400" w:type="dxa"/>
          </w:tcPr>
          <w:p w14:paraId="23C5B6D9" w14:textId="77777777" w:rsidR="0033208D" w:rsidRDefault="0033208D" w:rsidP="00AC6CE1">
            <w:pPr>
              <w:pStyle w:val="BodyText2"/>
            </w:pPr>
            <w:r>
              <w:t>SOPs describing the use of specific computer applications critical to the collection and management of data generated in the cell therapy facility, and for the maintenance of all records including this SOP manual.</w:t>
            </w:r>
          </w:p>
        </w:tc>
      </w:tr>
    </w:tbl>
    <w:p w14:paraId="4517679F" w14:textId="77777777" w:rsidR="0033208D" w:rsidRDefault="0033208D" w:rsidP="0033208D">
      <w:pPr>
        <w:pStyle w:val="Heading2"/>
        <w:numPr>
          <w:ilvl w:val="0"/>
          <w:numId w:val="0"/>
        </w:numPr>
        <w:ind w:left="720"/>
      </w:pPr>
    </w:p>
    <w:p w14:paraId="490B380E" w14:textId="77777777" w:rsidR="0033208D" w:rsidRDefault="0033208D" w:rsidP="0033208D">
      <w:pPr>
        <w:pStyle w:val="Heading2"/>
        <w:numPr>
          <w:ilvl w:val="0"/>
          <w:numId w:val="0"/>
        </w:numPr>
        <w:ind w:left="720"/>
      </w:pPr>
    </w:p>
    <w:p w14:paraId="69EEE525" w14:textId="4A640C54" w:rsidR="0033208D" w:rsidRDefault="0033208D" w:rsidP="0033208D">
      <w:pPr>
        <w:pStyle w:val="Heading2"/>
        <w:numPr>
          <w:ilvl w:val="1"/>
          <w:numId w:val="4"/>
        </w:numPr>
      </w:pPr>
      <w:r>
        <w:t>USE OF TABLE OF CONTENT (AKA TOC)</w:t>
      </w:r>
    </w:p>
    <w:p w14:paraId="52DFACA4" w14:textId="77777777" w:rsidR="0033208D" w:rsidRPr="0033208D" w:rsidRDefault="0033208D" w:rsidP="0033208D">
      <w:pPr>
        <w:pStyle w:val="BodyText2"/>
        <w:rPr>
          <w:b/>
          <w:bCs/>
        </w:rPr>
      </w:pPr>
    </w:p>
    <w:p w14:paraId="090B5D91" w14:textId="0957FA3D" w:rsidR="0094670C" w:rsidRDefault="0033208D" w:rsidP="0033208D">
      <w:pPr>
        <w:pStyle w:val="BodyText2"/>
      </w:pPr>
      <w:r>
        <w:t xml:space="preserve">A table of contents containing an ordered list of </w:t>
      </w:r>
      <w:r w:rsidR="0094670C">
        <w:t>all</w:t>
      </w:r>
      <w:r>
        <w:t xml:space="preserve"> the </w:t>
      </w:r>
      <w:r>
        <w:t>key topics</w:t>
      </w:r>
      <w:r>
        <w:t xml:space="preserve"> within the</w:t>
      </w:r>
      <w:r>
        <w:t xml:space="preserve"> document. You can create one if you want to give your document a more professional look and provide </w:t>
      </w:r>
      <w:r w:rsidR="0094670C">
        <w:t xml:space="preserve">more context to your audience. </w:t>
      </w:r>
      <w:proofErr w:type="spellStart"/>
      <w:r w:rsidR="0094670C">
        <w:t>Youtube</w:t>
      </w:r>
      <w:proofErr w:type="spellEnd"/>
      <w:r w:rsidR="0094670C">
        <w:t xml:space="preserve"> how to create a TOC and practice.</w:t>
      </w:r>
    </w:p>
    <w:p w14:paraId="7D6D5D5C" w14:textId="582D225F" w:rsidR="0094670C" w:rsidRDefault="0094670C" w:rsidP="0094670C">
      <w:pPr>
        <w:pStyle w:val="Heading2"/>
      </w:pPr>
      <w:r>
        <w:t xml:space="preserve">TEXT FORMATTING </w:t>
      </w:r>
    </w:p>
    <w:p w14:paraId="31DADF63" w14:textId="529F4749" w:rsidR="0094670C" w:rsidRDefault="0094670C" w:rsidP="0094670C">
      <w:pPr>
        <w:pStyle w:val="BodyText2"/>
      </w:pPr>
      <w:r>
        <w:t xml:space="preserve">Documents can be </w:t>
      </w:r>
      <w:r>
        <w:t xml:space="preserve">written in size 12 or 14 font in Times New Roman or Arial font using the box style pages that the present document is prepared in. </w:t>
      </w:r>
      <w:r>
        <w:t xml:space="preserve">Always ask your company if there is a set </w:t>
      </w:r>
      <w:r>
        <w:lastRenderedPageBreak/>
        <w:t xml:space="preserve">format or template style used across the organization in regard </w:t>
      </w:r>
      <w:proofErr w:type="gramStart"/>
      <w:r>
        <w:t>to  writing</w:t>
      </w:r>
      <w:proofErr w:type="gramEnd"/>
      <w:r>
        <w:t xml:space="preserve"> documents.</w:t>
      </w:r>
    </w:p>
    <w:p w14:paraId="0F279AE1" w14:textId="77777777" w:rsidR="0094670C" w:rsidRDefault="0094670C" w:rsidP="0033208D">
      <w:pPr>
        <w:pStyle w:val="BodyText2"/>
      </w:pPr>
    </w:p>
    <w:p w14:paraId="2258C3D1" w14:textId="388F1A52" w:rsidR="0094670C" w:rsidRDefault="0094670C" w:rsidP="0094670C">
      <w:pPr>
        <w:pStyle w:val="Heading2"/>
      </w:pPr>
      <w:proofErr w:type="spellStart"/>
      <w:r>
        <w:t>E</w:t>
      </w:r>
      <w:proofErr w:type="spellEnd"/>
      <w:r>
        <w:t>XTERNAL SHAREABLE COPIES MUST BE IN PDF (READ ONLY FORMAT)</w:t>
      </w:r>
      <w:r>
        <w:t xml:space="preserve"> </w:t>
      </w:r>
    </w:p>
    <w:p w14:paraId="425CDB6D" w14:textId="3C5719BF" w:rsidR="0094670C" w:rsidRDefault="0094670C" w:rsidP="0094670C">
      <w:pPr>
        <w:pStyle w:val="BodyText2"/>
      </w:pPr>
      <w:r>
        <w:t>When sharing a document with a different department or an external auditor always save your document in PDF form (if it is an excel document save it as read only).</w:t>
      </w:r>
    </w:p>
    <w:p w14:paraId="77B48490" w14:textId="0D59DD43" w:rsidR="0094670C" w:rsidRDefault="0094670C" w:rsidP="0094670C">
      <w:pPr>
        <w:pStyle w:val="Heading2"/>
      </w:pPr>
      <w:r>
        <w:t>NAMING YOUR DOCUMENT</w:t>
      </w:r>
    </w:p>
    <w:p w14:paraId="748399E9" w14:textId="02035FDF" w:rsidR="0094670C" w:rsidRDefault="0094670C" w:rsidP="0094670C">
      <w:pPr>
        <w:pStyle w:val="BodyText2"/>
      </w:pPr>
      <w:r>
        <w:t xml:space="preserve"> It is important to understand your company’s naming convention, so ask for guidance from your peers or lead. If there is not a naming convention you can use the following as guidance to create one for your documents.</w:t>
      </w:r>
    </w:p>
    <w:p w14:paraId="2A4D556D" w14:textId="23C740AD" w:rsidR="0094670C" w:rsidRDefault="0094670C" w:rsidP="0094670C">
      <w:pPr>
        <w:rPr>
          <w:i/>
          <w:iCs/>
        </w:rPr>
      </w:pPr>
      <w:r>
        <w:rPr>
          <w:i/>
          <w:iCs/>
        </w:rPr>
        <w:t>Document Name</w:t>
      </w:r>
      <w:r>
        <w:rPr>
          <w:i/>
          <w:iCs/>
        </w:rPr>
        <w:t>-&lt;number within volume</w:t>
      </w:r>
      <w:proofErr w:type="gramStart"/>
      <w:r>
        <w:rPr>
          <w:i/>
          <w:iCs/>
        </w:rPr>
        <w:t>&gt;.&lt;</w:t>
      </w:r>
      <w:proofErr w:type="gramEnd"/>
      <w:r>
        <w:rPr>
          <w:i/>
          <w:iCs/>
        </w:rPr>
        <w:t xml:space="preserve">revision&gt; </w:t>
      </w:r>
    </w:p>
    <w:p w14:paraId="73D30D96" w14:textId="77777777" w:rsidR="0094670C" w:rsidRDefault="0094670C" w:rsidP="0094670C">
      <w:pPr>
        <w:ind w:left="2160"/>
      </w:pPr>
    </w:p>
    <w:p w14:paraId="02BD2F47" w14:textId="2E08F322" w:rsidR="0094670C" w:rsidRDefault="0094670C" w:rsidP="0094670C">
      <w:r>
        <w:t>(</w:t>
      </w:r>
      <w:proofErr w:type="gramStart"/>
      <w:r>
        <w:t>for</w:t>
      </w:r>
      <w:proofErr w:type="gramEnd"/>
      <w:r>
        <w:t xml:space="preserve"> example, “</w:t>
      </w:r>
      <w:r>
        <w:t>(Password Policy</w:t>
      </w:r>
      <w:r w:rsidR="00540632">
        <w:t xml:space="preserve"> </w:t>
      </w:r>
      <w:r>
        <w:t>1.2”).</w:t>
      </w:r>
    </w:p>
    <w:p w14:paraId="2864215D" w14:textId="717A278A" w:rsidR="00540632" w:rsidRDefault="00540632" w:rsidP="0094670C"/>
    <w:p w14:paraId="5481E525" w14:textId="77777777" w:rsidR="00540632" w:rsidRDefault="00540632" w:rsidP="00540632">
      <w:pPr>
        <w:pStyle w:val="Heading2"/>
      </w:pPr>
      <w:r>
        <w:t>HISTORICAL OUTLINE</w:t>
      </w:r>
    </w:p>
    <w:p w14:paraId="1640B24E" w14:textId="253A5B56" w:rsidR="00540632" w:rsidRDefault="00540632" w:rsidP="00540632">
      <w:pPr>
        <w:pStyle w:val="BodyText2"/>
      </w:pPr>
      <w:r>
        <w:t xml:space="preserve">Some </w:t>
      </w:r>
      <w:proofErr w:type="gramStart"/>
      <w:r>
        <w:t>company’s</w:t>
      </w:r>
      <w:proofErr w:type="gramEnd"/>
      <w:r>
        <w:t xml:space="preserve"> may use a historical outline for documents. This page is often listed at the beginning of the document or the last page within the document. </w:t>
      </w:r>
      <w:r>
        <w:t xml:space="preserve"> </w:t>
      </w:r>
      <w:proofErr w:type="spellStart"/>
      <w:r>
        <w:t>The</w:t>
      </w:r>
      <w:proofErr w:type="spellEnd"/>
      <w:r>
        <w:t xml:space="preserve"> table columns </w:t>
      </w:r>
      <w:r>
        <w:t xml:space="preserve">can be </w:t>
      </w:r>
      <w:proofErr w:type="spellStart"/>
      <w:r>
        <w:t>use</w:t>
      </w:r>
      <w:proofErr w:type="spellEnd"/>
      <w:r>
        <w:t xml:space="preserve"> as a guidance</w:t>
      </w:r>
      <w:r>
        <w:t>:</w:t>
      </w:r>
    </w:p>
    <w:p w14:paraId="4B052976" w14:textId="77777777" w:rsidR="00540632" w:rsidRDefault="00540632" w:rsidP="00540632">
      <w:pPr>
        <w:pStyle w:val="ListBullet3"/>
      </w:pPr>
      <w:r>
        <w:t>DATE:  Date of first writing, revision, review and removal of service.</w:t>
      </w:r>
    </w:p>
    <w:p w14:paraId="20146684" w14:textId="77777777" w:rsidR="00540632" w:rsidRDefault="00540632" w:rsidP="00540632">
      <w:pPr>
        <w:pStyle w:val="ListBullet3"/>
      </w:pPr>
      <w:r>
        <w:t>WRITTEN/REVISED:  Name of person who wrote or revised that procedure.</w:t>
      </w:r>
    </w:p>
    <w:p w14:paraId="49AD96D7" w14:textId="77777777" w:rsidR="00540632" w:rsidRDefault="00540632" w:rsidP="00540632">
      <w:pPr>
        <w:pStyle w:val="ListBullet3"/>
      </w:pPr>
      <w:r>
        <w:t>REVISON DESCRIPTION:  Description of the revisions of that procedure.</w:t>
      </w:r>
    </w:p>
    <w:p w14:paraId="23809B7C" w14:textId="77777777" w:rsidR="00540632" w:rsidRDefault="00540632" w:rsidP="00540632">
      <w:pPr>
        <w:pStyle w:val="ListBullet3"/>
      </w:pPr>
      <w:r>
        <w:t>MANAGER REVIEW:  Signature block for the facility manager to indicate review of the policy / procedure.</w:t>
      </w:r>
    </w:p>
    <w:p w14:paraId="17D9B4AC" w14:textId="77777777" w:rsidR="00540632" w:rsidRDefault="00540632" w:rsidP="00540632">
      <w:pPr>
        <w:pStyle w:val="ListBullet3"/>
      </w:pPr>
      <w:r>
        <w:t>FACILITY DIRECTOR REVIEW:  Signature block for the facility director to indicate review of the policy / procedure.</w:t>
      </w:r>
    </w:p>
    <w:p w14:paraId="15F4EF0C" w14:textId="77777777" w:rsidR="00540632" w:rsidRDefault="00540632" w:rsidP="00540632">
      <w:pPr>
        <w:pStyle w:val="ListBullet3"/>
      </w:pPr>
      <w:r>
        <w:t>MEDICAL DIRECTOR REVIEW: Signature block for the relevant medical director(s) to indicate review of the policy procedure.</w:t>
      </w:r>
    </w:p>
    <w:p w14:paraId="764BC999" w14:textId="77777777" w:rsidR="00540632" w:rsidRDefault="00540632" w:rsidP="0094670C"/>
    <w:p w14:paraId="1C7C9F36" w14:textId="77777777" w:rsidR="0094670C" w:rsidRDefault="0094670C" w:rsidP="0094670C">
      <w:pPr>
        <w:pStyle w:val="BodyText2"/>
        <w:jc w:val="both"/>
      </w:pPr>
    </w:p>
    <w:p w14:paraId="3BE1BF93" w14:textId="77777777" w:rsidR="00B97A2D" w:rsidRDefault="00B97A2D"/>
    <w:sectPr w:rsidR="00B97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1FAED922"/>
    <w:lvl w:ilvl="0">
      <w:start w:val="1"/>
      <w:numFmt w:val="bullet"/>
      <w:pStyle w:val="ListBullet3"/>
      <w:lvlText w:val=""/>
      <w:lvlJc w:val="left"/>
      <w:pPr>
        <w:tabs>
          <w:tab w:val="num" w:pos="1080"/>
        </w:tabs>
        <w:ind w:left="1080" w:hanging="360"/>
      </w:pPr>
      <w:rPr>
        <w:rFonts w:ascii="Symbol" w:hAnsi="Symbol" w:hint="default"/>
      </w:rPr>
    </w:lvl>
  </w:abstractNum>
  <w:abstractNum w:abstractNumId="1" w15:restartNumberingAfterBreak="0">
    <w:nsid w:val="FFFFFF83"/>
    <w:multiLevelType w:val="singleLevel"/>
    <w:tmpl w:val="116A7074"/>
    <w:lvl w:ilvl="0">
      <w:start w:val="1"/>
      <w:numFmt w:val="bullet"/>
      <w:pStyle w:val="ListBullet2"/>
      <w:lvlText w:val="o"/>
      <w:lvlJc w:val="left"/>
      <w:pPr>
        <w:tabs>
          <w:tab w:val="num" w:pos="1080"/>
        </w:tabs>
        <w:ind w:left="1080" w:hanging="360"/>
      </w:pPr>
      <w:rPr>
        <w:rFonts w:ascii="Courier New" w:hAnsi="Courier New" w:hint="default"/>
      </w:rPr>
    </w:lvl>
  </w:abstractNum>
  <w:abstractNum w:abstractNumId="2" w15:restartNumberingAfterBreak="0">
    <w:nsid w:val="20C54D1A"/>
    <w:multiLevelType w:val="multilevel"/>
    <w:tmpl w:val="E758AB12"/>
    <w:lvl w:ilvl="0">
      <w:start w:val="1"/>
      <w:numFmt w:val="upperRoman"/>
      <w:pStyle w:val="Heading1"/>
      <w:lvlText w:val="%1."/>
      <w:lvlJc w:val="right"/>
      <w:pPr>
        <w:ind w:left="360" w:hanging="36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3" w15:restartNumberingAfterBreak="0">
    <w:nsid w:val="2D9E44F3"/>
    <w:multiLevelType w:val="hybridMultilevel"/>
    <w:tmpl w:val="7646EEDE"/>
    <w:lvl w:ilvl="0" w:tplc="E730CA40">
      <w:start w:val="7"/>
      <w:numFmt w:val="bullet"/>
      <w:lvlText w:val=""/>
      <w:lvlJc w:val="left"/>
      <w:pPr>
        <w:tabs>
          <w:tab w:val="num" w:pos="1800"/>
        </w:tabs>
        <w:ind w:left="1800" w:hanging="360"/>
      </w:pPr>
      <w:rPr>
        <w:rFonts w:ascii="Symbol" w:eastAsia="Times New Roman" w:hAnsi="Symbol" w:cs="Times New Roman"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3BF5591C"/>
    <w:multiLevelType w:val="singleLevel"/>
    <w:tmpl w:val="686A0BFA"/>
    <w:lvl w:ilvl="0">
      <w:start w:val="1"/>
      <w:numFmt w:val="upperRoman"/>
      <w:lvlText w:val="%1."/>
      <w:lvlJc w:val="left"/>
      <w:pPr>
        <w:tabs>
          <w:tab w:val="num" w:pos="720"/>
        </w:tabs>
        <w:ind w:left="720" w:hanging="720"/>
      </w:pPr>
      <w:rPr>
        <w:rFonts w:hint="default"/>
      </w:rPr>
    </w:lvl>
  </w:abstractNum>
  <w:num w:numId="1">
    <w:abstractNumId w:val="2"/>
  </w:num>
  <w:num w:numId="2">
    <w:abstractNumId w:val="4"/>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lvlOverride w:ilvl="2"/>
    <w:lvlOverride w:ilvl="3"/>
    <w:lvlOverride w:ilvl="4"/>
    <w:lvlOverride w:ilvl="5"/>
    <w:lvlOverride w:ilvl="6"/>
    <w:lvlOverride w:ilvl="7"/>
    <w:lvlOverride w:ilvl="8"/>
  </w:num>
  <w:num w:numId="6">
    <w:abstractNumId w:val="0"/>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lvlOverride w:ilvl="1"/>
    <w:lvlOverride w:ilvl="2"/>
    <w:lvlOverride w:ilvl="3"/>
    <w:lvlOverride w:ilvl="4"/>
    <w:lvlOverride w:ilvl="5"/>
    <w:lvlOverride w:ilvl="6"/>
    <w:lvlOverride w:ilvl="7"/>
    <w:lvlOverride w:ilvl="8"/>
  </w:num>
  <w:num w:numId="9">
    <w:abstractNumId w:val="2"/>
    <w:lvlOverride w:ilvl="0"/>
    <w:lvlOverride w:ilvl="1"/>
    <w:lvlOverride w:ilvl="2"/>
    <w:lvlOverride w:ilvl="3"/>
    <w:lvlOverride w:ilvl="4"/>
    <w:lvlOverride w:ilvl="5"/>
    <w:lvlOverride w:ilvl="6"/>
    <w:lvlOverride w:ilvl="7"/>
    <w:lvlOverride w:ilv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2D"/>
    <w:rsid w:val="0033208D"/>
    <w:rsid w:val="00540632"/>
    <w:rsid w:val="008A6E19"/>
    <w:rsid w:val="0094670C"/>
    <w:rsid w:val="00B97A2D"/>
    <w:rsid w:val="00E61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F7DD5"/>
  <w15:chartTrackingRefBased/>
  <w15:docId w15:val="{0CA2F3F0-A6F6-2941-B6B8-207A2FC84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A2D"/>
    <w:pPr>
      <w:widowControl w:val="0"/>
    </w:pPr>
    <w:rPr>
      <w:rFonts w:ascii="Times New Roman" w:eastAsia="Times New Roman" w:hAnsi="Times New Roman" w:cs="Times New Roman"/>
      <w:snapToGrid w:val="0"/>
      <w:szCs w:val="20"/>
    </w:rPr>
  </w:style>
  <w:style w:type="paragraph" w:styleId="Heading1">
    <w:name w:val="heading 1"/>
    <w:basedOn w:val="Normal"/>
    <w:next w:val="BodyText"/>
    <w:link w:val="Heading1Char"/>
    <w:qFormat/>
    <w:rsid w:val="00B97A2D"/>
    <w:pPr>
      <w:keepNext/>
      <w:widowControl/>
      <w:numPr>
        <w:numId w:val="1"/>
      </w:numPr>
      <w:spacing w:before="240" w:after="120"/>
      <w:outlineLvl w:val="0"/>
    </w:pPr>
    <w:rPr>
      <w:b/>
      <w:snapToGrid/>
    </w:rPr>
  </w:style>
  <w:style w:type="paragraph" w:styleId="Heading2">
    <w:name w:val="heading 2"/>
    <w:basedOn w:val="Normal"/>
    <w:next w:val="BodyText2"/>
    <w:link w:val="Heading2Char"/>
    <w:qFormat/>
    <w:rsid w:val="00B97A2D"/>
    <w:pPr>
      <w:keepNext/>
      <w:numPr>
        <w:ilvl w:val="1"/>
        <w:numId w:val="1"/>
      </w:numPr>
      <w:spacing w:before="120" w:after="120"/>
      <w:outlineLvl w:val="1"/>
    </w:pPr>
    <w:rPr>
      <w:rFonts w:cs="Arial"/>
      <w:b/>
      <w:bCs/>
      <w:iCs/>
      <w:szCs w:val="28"/>
    </w:rPr>
  </w:style>
  <w:style w:type="paragraph" w:styleId="Heading3">
    <w:name w:val="heading 3"/>
    <w:basedOn w:val="Normal"/>
    <w:next w:val="BodyText3"/>
    <w:link w:val="Heading3Char"/>
    <w:qFormat/>
    <w:rsid w:val="00B97A2D"/>
    <w:pPr>
      <w:keepNext/>
      <w:numPr>
        <w:ilvl w:val="2"/>
        <w:numId w:val="1"/>
      </w:numPr>
      <w:spacing w:before="120" w:after="120"/>
      <w:ind w:left="1800" w:hanging="360"/>
      <w:outlineLvl w:val="2"/>
    </w:pPr>
    <w:rPr>
      <w:rFonts w:cs="Arial"/>
      <w:bCs/>
      <w:szCs w:val="26"/>
    </w:rPr>
  </w:style>
  <w:style w:type="paragraph" w:styleId="Heading4">
    <w:name w:val="heading 4"/>
    <w:basedOn w:val="Normal"/>
    <w:next w:val="Normal"/>
    <w:link w:val="Heading4Char"/>
    <w:qFormat/>
    <w:rsid w:val="00B97A2D"/>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B97A2D"/>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B97A2D"/>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B97A2D"/>
    <w:pPr>
      <w:numPr>
        <w:ilvl w:val="6"/>
        <w:numId w:val="1"/>
      </w:numPr>
      <w:spacing w:before="240" w:after="60"/>
      <w:outlineLvl w:val="6"/>
    </w:pPr>
    <w:rPr>
      <w:szCs w:val="24"/>
    </w:rPr>
  </w:style>
  <w:style w:type="paragraph" w:styleId="Heading8">
    <w:name w:val="heading 8"/>
    <w:basedOn w:val="Normal"/>
    <w:next w:val="Normal"/>
    <w:link w:val="Heading8Char"/>
    <w:qFormat/>
    <w:rsid w:val="00B97A2D"/>
    <w:pPr>
      <w:numPr>
        <w:ilvl w:val="7"/>
        <w:numId w:val="1"/>
      </w:numPr>
      <w:spacing w:before="240" w:after="60"/>
      <w:outlineLvl w:val="7"/>
    </w:pPr>
    <w:rPr>
      <w:i/>
      <w:iCs/>
      <w:szCs w:val="24"/>
    </w:rPr>
  </w:style>
  <w:style w:type="paragraph" w:styleId="Heading9">
    <w:name w:val="heading 9"/>
    <w:basedOn w:val="Normal"/>
    <w:next w:val="Normal"/>
    <w:link w:val="Heading9Char"/>
    <w:qFormat/>
    <w:rsid w:val="00B97A2D"/>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7A2D"/>
    <w:rPr>
      <w:rFonts w:ascii="Times New Roman" w:eastAsia="Times New Roman" w:hAnsi="Times New Roman" w:cs="Times New Roman"/>
      <w:b/>
      <w:szCs w:val="20"/>
    </w:rPr>
  </w:style>
  <w:style w:type="character" w:customStyle="1" w:styleId="Heading2Char">
    <w:name w:val="Heading 2 Char"/>
    <w:basedOn w:val="DefaultParagraphFont"/>
    <w:link w:val="Heading2"/>
    <w:rsid w:val="00B97A2D"/>
    <w:rPr>
      <w:rFonts w:ascii="Times New Roman" w:eastAsia="Times New Roman" w:hAnsi="Times New Roman" w:cs="Arial"/>
      <w:b/>
      <w:bCs/>
      <w:iCs/>
      <w:snapToGrid w:val="0"/>
      <w:szCs w:val="28"/>
    </w:rPr>
  </w:style>
  <w:style w:type="character" w:customStyle="1" w:styleId="Heading3Char">
    <w:name w:val="Heading 3 Char"/>
    <w:basedOn w:val="DefaultParagraphFont"/>
    <w:link w:val="Heading3"/>
    <w:rsid w:val="00B97A2D"/>
    <w:rPr>
      <w:rFonts w:ascii="Times New Roman" w:eastAsia="Times New Roman" w:hAnsi="Times New Roman" w:cs="Arial"/>
      <w:bCs/>
      <w:snapToGrid w:val="0"/>
      <w:szCs w:val="26"/>
    </w:rPr>
  </w:style>
  <w:style w:type="character" w:customStyle="1" w:styleId="Heading4Char">
    <w:name w:val="Heading 4 Char"/>
    <w:basedOn w:val="DefaultParagraphFont"/>
    <w:link w:val="Heading4"/>
    <w:rsid w:val="00B97A2D"/>
    <w:rPr>
      <w:rFonts w:ascii="Times New Roman" w:eastAsia="Times New Roman" w:hAnsi="Times New Roman" w:cs="Times New Roman"/>
      <w:b/>
      <w:bCs/>
      <w:snapToGrid w:val="0"/>
      <w:sz w:val="28"/>
      <w:szCs w:val="28"/>
    </w:rPr>
  </w:style>
  <w:style w:type="character" w:customStyle="1" w:styleId="Heading5Char">
    <w:name w:val="Heading 5 Char"/>
    <w:basedOn w:val="DefaultParagraphFont"/>
    <w:link w:val="Heading5"/>
    <w:rsid w:val="00B97A2D"/>
    <w:rPr>
      <w:rFonts w:ascii="Times New Roman" w:eastAsia="Times New Roman" w:hAnsi="Times New Roman" w:cs="Times New Roman"/>
      <w:b/>
      <w:bCs/>
      <w:i/>
      <w:iCs/>
      <w:snapToGrid w:val="0"/>
      <w:sz w:val="26"/>
      <w:szCs w:val="26"/>
    </w:rPr>
  </w:style>
  <w:style w:type="character" w:customStyle="1" w:styleId="Heading6Char">
    <w:name w:val="Heading 6 Char"/>
    <w:basedOn w:val="DefaultParagraphFont"/>
    <w:link w:val="Heading6"/>
    <w:rsid w:val="00B97A2D"/>
    <w:rPr>
      <w:rFonts w:ascii="Times New Roman" w:eastAsia="Times New Roman" w:hAnsi="Times New Roman" w:cs="Times New Roman"/>
      <w:b/>
      <w:bCs/>
      <w:snapToGrid w:val="0"/>
      <w:sz w:val="22"/>
      <w:szCs w:val="22"/>
    </w:rPr>
  </w:style>
  <w:style w:type="character" w:customStyle="1" w:styleId="Heading7Char">
    <w:name w:val="Heading 7 Char"/>
    <w:basedOn w:val="DefaultParagraphFont"/>
    <w:link w:val="Heading7"/>
    <w:rsid w:val="00B97A2D"/>
    <w:rPr>
      <w:rFonts w:ascii="Times New Roman" w:eastAsia="Times New Roman" w:hAnsi="Times New Roman" w:cs="Times New Roman"/>
      <w:snapToGrid w:val="0"/>
    </w:rPr>
  </w:style>
  <w:style w:type="character" w:customStyle="1" w:styleId="Heading8Char">
    <w:name w:val="Heading 8 Char"/>
    <w:basedOn w:val="DefaultParagraphFont"/>
    <w:link w:val="Heading8"/>
    <w:rsid w:val="00B97A2D"/>
    <w:rPr>
      <w:rFonts w:ascii="Times New Roman" w:eastAsia="Times New Roman" w:hAnsi="Times New Roman" w:cs="Times New Roman"/>
      <w:i/>
      <w:iCs/>
      <w:snapToGrid w:val="0"/>
    </w:rPr>
  </w:style>
  <w:style w:type="character" w:customStyle="1" w:styleId="Heading9Char">
    <w:name w:val="Heading 9 Char"/>
    <w:basedOn w:val="DefaultParagraphFont"/>
    <w:link w:val="Heading9"/>
    <w:rsid w:val="00B97A2D"/>
    <w:rPr>
      <w:rFonts w:ascii="Arial" w:eastAsia="Times New Roman" w:hAnsi="Arial" w:cs="Arial"/>
      <w:snapToGrid w:val="0"/>
      <w:sz w:val="22"/>
      <w:szCs w:val="22"/>
    </w:rPr>
  </w:style>
  <w:style w:type="paragraph" w:styleId="BodyTextIndent">
    <w:name w:val="Body Text Indent"/>
    <w:basedOn w:val="Normal"/>
    <w:link w:val="BodyTextIndentChar"/>
    <w:rsid w:val="00B97A2D"/>
    <w:pPr>
      <w:widowControl/>
      <w:ind w:left="720"/>
    </w:pPr>
    <w:rPr>
      <w:snapToGrid/>
    </w:rPr>
  </w:style>
  <w:style w:type="character" w:customStyle="1" w:styleId="BodyTextIndentChar">
    <w:name w:val="Body Text Indent Char"/>
    <w:basedOn w:val="DefaultParagraphFont"/>
    <w:link w:val="BodyTextIndent"/>
    <w:rsid w:val="00B97A2D"/>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B97A2D"/>
    <w:pPr>
      <w:spacing w:after="120"/>
    </w:pPr>
  </w:style>
  <w:style w:type="character" w:customStyle="1" w:styleId="BodyTextChar">
    <w:name w:val="Body Text Char"/>
    <w:basedOn w:val="DefaultParagraphFont"/>
    <w:link w:val="BodyText"/>
    <w:uiPriority w:val="99"/>
    <w:semiHidden/>
    <w:rsid w:val="00B97A2D"/>
    <w:rPr>
      <w:rFonts w:ascii="Times New Roman" w:eastAsia="Times New Roman" w:hAnsi="Times New Roman" w:cs="Times New Roman"/>
      <w:snapToGrid w:val="0"/>
      <w:szCs w:val="20"/>
    </w:rPr>
  </w:style>
  <w:style w:type="paragraph" w:styleId="BodyText2">
    <w:name w:val="Body Text 2"/>
    <w:basedOn w:val="Normal"/>
    <w:link w:val="BodyText2Char"/>
    <w:uiPriority w:val="99"/>
    <w:semiHidden/>
    <w:unhideWhenUsed/>
    <w:rsid w:val="00B97A2D"/>
    <w:pPr>
      <w:spacing w:after="120" w:line="480" w:lineRule="auto"/>
    </w:pPr>
  </w:style>
  <w:style w:type="character" w:customStyle="1" w:styleId="BodyText2Char">
    <w:name w:val="Body Text 2 Char"/>
    <w:basedOn w:val="DefaultParagraphFont"/>
    <w:link w:val="BodyText2"/>
    <w:uiPriority w:val="99"/>
    <w:semiHidden/>
    <w:rsid w:val="00B97A2D"/>
    <w:rPr>
      <w:rFonts w:ascii="Times New Roman" w:eastAsia="Times New Roman" w:hAnsi="Times New Roman" w:cs="Times New Roman"/>
      <w:snapToGrid w:val="0"/>
      <w:szCs w:val="20"/>
    </w:rPr>
  </w:style>
  <w:style w:type="paragraph" w:styleId="BodyText3">
    <w:name w:val="Body Text 3"/>
    <w:basedOn w:val="Normal"/>
    <w:link w:val="BodyText3Char"/>
    <w:uiPriority w:val="99"/>
    <w:semiHidden/>
    <w:unhideWhenUsed/>
    <w:rsid w:val="00B97A2D"/>
    <w:pPr>
      <w:spacing w:after="120"/>
    </w:pPr>
    <w:rPr>
      <w:sz w:val="16"/>
      <w:szCs w:val="16"/>
    </w:rPr>
  </w:style>
  <w:style w:type="character" w:customStyle="1" w:styleId="BodyText3Char">
    <w:name w:val="Body Text 3 Char"/>
    <w:basedOn w:val="DefaultParagraphFont"/>
    <w:link w:val="BodyText3"/>
    <w:uiPriority w:val="99"/>
    <w:semiHidden/>
    <w:rsid w:val="00B97A2D"/>
    <w:rPr>
      <w:rFonts w:ascii="Times New Roman" w:eastAsia="Times New Roman" w:hAnsi="Times New Roman" w:cs="Times New Roman"/>
      <w:snapToGrid w:val="0"/>
      <w:sz w:val="16"/>
      <w:szCs w:val="16"/>
    </w:rPr>
  </w:style>
  <w:style w:type="paragraph" w:styleId="ListBullet2">
    <w:name w:val="List Bullet 2"/>
    <w:basedOn w:val="Normal"/>
    <w:autoRedefine/>
    <w:rsid w:val="00B97A2D"/>
    <w:pPr>
      <w:numPr>
        <w:numId w:val="3"/>
      </w:numPr>
      <w:tabs>
        <w:tab w:val="left" w:pos="2880"/>
      </w:tabs>
    </w:pPr>
  </w:style>
  <w:style w:type="paragraph" w:styleId="ListBullet3">
    <w:name w:val="List Bullet 3"/>
    <w:basedOn w:val="Normal"/>
    <w:uiPriority w:val="99"/>
    <w:semiHidden/>
    <w:unhideWhenUsed/>
    <w:rsid w:val="0094670C"/>
    <w:pPr>
      <w:numPr>
        <w:numId w:val="6"/>
      </w:numPr>
      <w:contextualSpacing/>
    </w:pPr>
  </w:style>
  <w:style w:type="paragraph" w:styleId="BalloonText">
    <w:name w:val="Balloon Text"/>
    <w:basedOn w:val="Normal"/>
    <w:link w:val="BalloonTextChar"/>
    <w:semiHidden/>
    <w:rsid w:val="00E61647"/>
    <w:rPr>
      <w:rFonts w:ascii="Tahoma" w:hAnsi="Tahoma" w:cs="Tahoma"/>
      <w:sz w:val="16"/>
      <w:szCs w:val="16"/>
    </w:rPr>
  </w:style>
  <w:style w:type="character" w:customStyle="1" w:styleId="BalloonTextChar">
    <w:name w:val="Balloon Text Char"/>
    <w:basedOn w:val="DefaultParagraphFont"/>
    <w:link w:val="BalloonText"/>
    <w:semiHidden/>
    <w:rsid w:val="00E61647"/>
    <w:rPr>
      <w:rFonts w:ascii="Tahoma" w:eastAsia="Times New Roman" w:hAnsi="Tahoma" w:cs="Tahoma"/>
      <w:snapToGrid w:val="0"/>
      <w:sz w:val="16"/>
      <w:szCs w:val="16"/>
    </w:rPr>
  </w:style>
  <w:style w:type="paragraph" w:styleId="BodyTextIndent2">
    <w:name w:val="Body Text Indent 2"/>
    <w:basedOn w:val="Normal"/>
    <w:link w:val="BodyTextIndent2Char"/>
    <w:uiPriority w:val="99"/>
    <w:semiHidden/>
    <w:unhideWhenUsed/>
    <w:rsid w:val="00E61647"/>
    <w:pPr>
      <w:spacing w:after="120" w:line="480" w:lineRule="auto"/>
      <w:ind w:left="360"/>
    </w:pPr>
  </w:style>
  <w:style w:type="character" w:customStyle="1" w:styleId="BodyTextIndent2Char">
    <w:name w:val="Body Text Indent 2 Char"/>
    <w:basedOn w:val="DefaultParagraphFont"/>
    <w:link w:val="BodyTextIndent2"/>
    <w:uiPriority w:val="99"/>
    <w:semiHidden/>
    <w:rsid w:val="00E61647"/>
    <w:rPr>
      <w:rFonts w:ascii="Times New Roman" w:eastAsia="Times New Roman" w:hAnsi="Times New Roman" w:cs="Times New Roman"/>
      <w:snapToGrid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8D7611-025E-4C1D-8984-51DD8EEC2E74}"/>
</file>

<file path=customXml/itemProps2.xml><?xml version="1.0" encoding="utf-8"?>
<ds:datastoreItem xmlns:ds="http://schemas.openxmlformats.org/officeDocument/2006/customXml" ds:itemID="{570C994C-062A-401B-B24D-909DEB846D36}"/>
</file>

<file path=customXml/itemProps3.xml><?xml version="1.0" encoding="utf-8"?>
<ds:datastoreItem xmlns:ds="http://schemas.openxmlformats.org/officeDocument/2006/customXml" ds:itemID="{72C044A1-DE12-4B45-83F7-C6428F026275}"/>
</file>

<file path=docProps/app.xml><?xml version="1.0" encoding="utf-8"?>
<Properties xmlns="http://schemas.openxmlformats.org/officeDocument/2006/extended-properties" xmlns:vt="http://schemas.openxmlformats.org/officeDocument/2006/docPropsVTypes">
  <Template>Normal.dotm</Template>
  <TotalTime>46</TotalTime>
  <Pages>5</Pages>
  <Words>998</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Karicom Consulting</dc:creator>
  <cp:keywords/>
  <dc:description/>
  <cp:lastModifiedBy>Karicom Consulting</cp:lastModifiedBy>
  <cp:revision>2</cp:revision>
  <dcterms:created xsi:type="dcterms:W3CDTF">2021-10-02T16:49:00Z</dcterms:created>
  <dcterms:modified xsi:type="dcterms:W3CDTF">2021-10-05T00:46:00Z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